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00" w:rsidRDefault="00E92400" w:rsidP="00E92400">
      <w:pPr>
        <w:tabs>
          <w:tab w:val="left" w:pos="19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2400" w:rsidTr="00E92400">
        <w:tc>
          <w:tcPr>
            <w:tcW w:w="4785" w:type="dxa"/>
          </w:tcPr>
          <w:p w:rsidR="00E92400" w:rsidRDefault="00E92400" w:rsidP="00E92400">
            <w:pPr>
              <w:tabs>
                <w:tab w:val="left" w:pos="195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92400" w:rsidRDefault="00E92400" w:rsidP="00E92400">
            <w:pPr>
              <w:tabs>
                <w:tab w:val="left" w:pos="195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2400" w:rsidRDefault="00E92400" w:rsidP="00E92400">
            <w:pPr>
              <w:tabs>
                <w:tab w:val="left" w:pos="195"/>
                <w:tab w:val="right" w:pos="93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92400" w:rsidRDefault="00E92400" w:rsidP="00E924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A80B34">
              <w:rPr>
                <w:rFonts w:ascii="Times New Roman" w:hAnsi="Times New Roman" w:cs="Times New Roman"/>
                <w:sz w:val="24"/>
                <w:szCs w:val="24"/>
              </w:rPr>
              <w:t>Иланско-Нижнеигашского</w:t>
            </w:r>
            <w:proofErr w:type="spellEnd"/>
            <w:r w:rsidR="00A80B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E92400" w:rsidRPr="00E92400" w:rsidRDefault="00E92400" w:rsidP="00E924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="00A80B34">
              <w:rPr>
                <w:rFonts w:ascii="Times New Roman" w:hAnsi="Times New Roman" w:cs="Times New Roman"/>
                <w:sz w:val="24"/>
                <w:szCs w:val="24"/>
              </w:rPr>
              <w:t>П.А.Малышкин</w:t>
            </w:r>
            <w:proofErr w:type="spellEnd"/>
          </w:p>
          <w:p w:rsidR="00E92400" w:rsidRDefault="00E92400" w:rsidP="00E92400">
            <w:pPr>
              <w:tabs>
                <w:tab w:val="left" w:pos="195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400" w:rsidRPr="00E92400" w:rsidRDefault="00E92400" w:rsidP="00E92400">
      <w:pPr>
        <w:tabs>
          <w:tab w:val="left" w:pos="19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</w:p>
    <w:p w:rsidR="00B372AE" w:rsidRDefault="00B372AE" w:rsidP="00A871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A3A">
        <w:rPr>
          <w:rFonts w:ascii="Times New Roman" w:hAnsi="Times New Roman" w:cs="Times New Roman"/>
          <w:b/>
          <w:sz w:val="32"/>
          <w:szCs w:val="32"/>
        </w:rPr>
        <w:t>План подготовки к отопительному сезону 202</w:t>
      </w:r>
      <w:r w:rsidR="00A80B34">
        <w:rPr>
          <w:rFonts w:ascii="Times New Roman" w:hAnsi="Times New Roman" w:cs="Times New Roman"/>
          <w:b/>
          <w:sz w:val="32"/>
          <w:szCs w:val="32"/>
        </w:rPr>
        <w:t>6</w:t>
      </w:r>
      <w:r w:rsidRPr="00F34A3A">
        <w:rPr>
          <w:rFonts w:ascii="Times New Roman" w:hAnsi="Times New Roman" w:cs="Times New Roman"/>
          <w:b/>
          <w:sz w:val="32"/>
          <w:szCs w:val="32"/>
        </w:rPr>
        <w:t>-202</w:t>
      </w:r>
      <w:r w:rsidR="00A80B34">
        <w:rPr>
          <w:rFonts w:ascii="Times New Roman" w:hAnsi="Times New Roman" w:cs="Times New Roman"/>
          <w:b/>
          <w:sz w:val="32"/>
          <w:szCs w:val="32"/>
        </w:rPr>
        <w:t>7</w:t>
      </w:r>
      <w:r w:rsidRPr="00F34A3A">
        <w:rPr>
          <w:rFonts w:ascii="Times New Roman" w:hAnsi="Times New Roman" w:cs="Times New Roman"/>
          <w:b/>
          <w:sz w:val="32"/>
          <w:szCs w:val="32"/>
        </w:rPr>
        <w:t>гг.</w:t>
      </w:r>
    </w:p>
    <w:p w:rsidR="00DC219D" w:rsidRPr="00DC219D" w:rsidRDefault="00DC219D" w:rsidP="00DC21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19D">
        <w:rPr>
          <w:rFonts w:ascii="Times New Roman" w:hAnsi="Times New Roman" w:cs="Times New Roman"/>
          <w:sz w:val="32"/>
          <w:szCs w:val="32"/>
        </w:rPr>
        <w:t>Настоящий план разработан в соответствии с требованиями:</w:t>
      </w:r>
    </w:p>
    <w:p w:rsidR="00DC219D" w:rsidRPr="00DC219D" w:rsidRDefault="00DC219D" w:rsidP="00DC21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19D">
        <w:rPr>
          <w:rFonts w:ascii="Times New Roman" w:hAnsi="Times New Roman" w:cs="Times New Roman"/>
          <w:sz w:val="32"/>
          <w:szCs w:val="32"/>
        </w:rPr>
        <w:t>• приказа Минэнерго России от 13.11.2024 N 2234;</w:t>
      </w:r>
    </w:p>
    <w:p w:rsidR="00DC219D" w:rsidRPr="00DC219D" w:rsidRDefault="00DC219D" w:rsidP="00DC21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19D">
        <w:rPr>
          <w:rFonts w:ascii="Times New Roman" w:hAnsi="Times New Roman" w:cs="Times New Roman"/>
          <w:sz w:val="32"/>
          <w:szCs w:val="32"/>
        </w:rPr>
        <w:t>• приказа Минэнерго России от 24 марта 2003 г. N 115;</w:t>
      </w:r>
    </w:p>
    <w:p w:rsidR="00DC219D" w:rsidRPr="00DC219D" w:rsidRDefault="00DC219D" w:rsidP="00DC21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19D">
        <w:rPr>
          <w:rFonts w:ascii="Times New Roman" w:hAnsi="Times New Roman" w:cs="Times New Roman"/>
          <w:sz w:val="32"/>
          <w:szCs w:val="32"/>
        </w:rPr>
        <w:t>• Федерального закона от 27 июля 2010 г. N 190-ФЗ "О теплоснабжении"</w:t>
      </w:r>
    </w:p>
    <w:p w:rsidR="00B52B96" w:rsidRPr="00B52B96" w:rsidRDefault="00B52B96" w:rsidP="00B37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0"/>
        <w:gridCol w:w="3969"/>
      </w:tblGrid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969" w:type="dxa"/>
          </w:tcPr>
          <w:p w:rsidR="000111E5" w:rsidRDefault="00FD342E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663812, Красноярский край, Иланский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-Александровка,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="00A80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год постройки / ввода в эксплуатацию</w:t>
            </w:r>
          </w:p>
        </w:tc>
        <w:tc>
          <w:tcPr>
            <w:tcW w:w="3969" w:type="dxa"/>
          </w:tcPr>
          <w:p w:rsidR="000111E5" w:rsidRDefault="00AD2FB4" w:rsidP="00FD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/197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здания, </w:t>
            </w:r>
            <w:proofErr w:type="spellStart"/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111E5" w:rsidRDefault="00FD342E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809,1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наличие подвала, подполья</w:t>
            </w:r>
          </w:p>
        </w:tc>
        <w:tc>
          <w:tcPr>
            <w:tcW w:w="3969" w:type="dxa"/>
          </w:tcPr>
          <w:p w:rsidR="000111E5" w:rsidRDefault="00FD342E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наличие элеватора/ теплового пункта</w:t>
            </w:r>
          </w:p>
        </w:tc>
        <w:tc>
          <w:tcPr>
            <w:tcW w:w="3969" w:type="dxa"/>
          </w:tcPr>
          <w:p w:rsidR="000111E5" w:rsidRDefault="00AD2FB4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7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система отопления</w:t>
            </w:r>
          </w:p>
        </w:tc>
        <w:tc>
          <w:tcPr>
            <w:tcW w:w="3969" w:type="dxa"/>
          </w:tcPr>
          <w:p w:rsidR="000111E5" w:rsidRDefault="00DC219D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закрытая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схема отопления</w:t>
            </w:r>
          </w:p>
        </w:tc>
        <w:tc>
          <w:tcPr>
            <w:tcW w:w="3969" w:type="dxa"/>
          </w:tcPr>
          <w:p w:rsidR="000111E5" w:rsidRDefault="00AD2FB4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двутрубная</w:t>
            </w:r>
            <w:proofErr w:type="spellEnd"/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система ГВС</w:t>
            </w:r>
          </w:p>
        </w:tc>
        <w:tc>
          <w:tcPr>
            <w:tcW w:w="3969" w:type="dxa"/>
          </w:tcPr>
          <w:p w:rsidR="000111E5" w:rsidRDefault="00AD2FB4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узла учета тепловой энерги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69" w:type="dxa"/>
          </w:tcPr>
          <w:p w:rsidR="000111E5" w:rsidRDefault="00AD2FB4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0111E5" w:rsidTr="00F34A3A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0111E5" w:rsidRDefault="000111E5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E5">
              <w:rPr>
                <w:rFonts w:ascii="Times New Roman" w:hAnsi="Times New Roman" w:cs="Times New Roman"/>
                <w:sz w:val="28"/>
                <w:szCs w:val="28"/>
              </w:rPr>
              <w:t>теплоснабжающая организация</w:t>
            </w:r>
          </w:p>
        </w:tc>
        <w:tc>
          <w:tcPr>
            <w:tcW w:w="3969" w:type="dxa"/>
          </w:tcPr>
          <w:p w:rsidR="000111E5" w:rsidRDefault="00FD342E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Иланский район ТС и КУ, Вос</w:t>
            </w:r>
            <w:r w:rsidR="00E92400">
              <w:rPr>
                <w:rFonts w:ascii="Times New Roman" w:hAnsi="Times New Roman" w:cs="Times New Roman"/>
                <w:sz w:val="28"/>
                <w:szCs w:val="28"/>
              </w:rPr>
              <w:t>точный филиал АО «</w:t>
            </w:r>
            <w:proofErr w:type="spellStart"/>
            <w:r w:rsidR="00E924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расЭКо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2F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111E5" w:rsidRPr="00B52B96" w:rsidRDefault="000111E5" w:rsidP="00B37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2. Анализ прохождения трех прошлых отопительных периодов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7088"/>
        <w:gridCol w:w="2551"/>
      </w:tblGrid>
      <w:tr w:rsidR="000111E5" w:rsidTr="00B52B96">
        <w:tc>
          <w:tcPr>
            <w:tcW w:w="709" w:type="dxa"/>
          </w:tcPr>
          <w:p w:rsidR="000111E5" w:rsidRDefault="000111E5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111E5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отопительного периода</w:t>
            </w:r>
          </w:p>
        </w:tc>
        <w:tc>
          <w:tcPr>
            <w:tcW w:w="2551" w:type="dxa"/>
          </w:tcPr>
          <w:p w:rsidR="000111E5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A80B34">
            <w:pPr>
              <w:jc w:val="both"/>
            </w:pPr>
            <w:r>
              <w:t>202</w:t>
            </w:r>
            <w:r w:rsidR="00A80B34">
              <w:t>3</w:t>
            </w:r>
            <w:r>
              <w:t>-202</w:t>
            </w:r>
            <w:r w:rsidR="00A80B34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5A3811" w:rsidRDefault="00EF244F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A80B34">
            <w:pPr>
              <w:jc w:val="both"/>
            </w:pPr>
            <w:r>
              <w:t>202</w:t>
            </w:r>
            <w:r w:rsidR="00A80B34">
              <w:t>4</w:t>
            </w:r>
            <w:r>
              <w:t>-202</w:t>
            </w:r>
            <w:r w:rsidR="00A80B34">
              <w:t>5</w:t>
            </w:r>
            <w:r>
              <w:t xml:space="preserve"> </w:t>
            </w:r>
          </w:p>
        </w:tc>
        <w:tc>
          <w:tcPr>
            <w:tcW w:w="2551" w:type="dxa"/>
          </w:tcPr>
          <w:p w:rsidR="005A3811" w:rsidRDefault="00EF244F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A80B34">
            <w:pPr>
              <w:jc w:val="both"/>
            </w:pPr>
            <w:r w:rsidRPr="005026D4">
              <w:t>202</w:t>
            </w:r>
            <w:r w:rsidR="00A80B34">
              <w:t>5</w:t>
            </w:r>
            <w:r w:rsidRPr="005026D4">
              <w:t>-202</w:t>
            </w:r>
            <w:r w:rsidR="00A80B34">
              <w:t>6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наружного воздуха отопительного периода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405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405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FD342E" w:rsidP="00405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05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объем потребленной тепловой энергии в отопительный период (при наличии</w:t>
            </w:r>
          </w:p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прибора учета)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DC219D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DC219D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DC219D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Случаи размораживания внутренней системы отопления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случаи аварий / дефектов внутренней системы отопления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функционирования объектов теплоснабжения и их оборудования в</w:t>
            </w:r>
          </w:p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отопительный период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Случаи перерывов в поставке теплоносителя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Случаи нарушения температурного режима тепловой энергии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случаи снижения температурного режима тепловой энергии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Количество случаев перерасчета платы из-за снижения качества/параметров</w:t>
            </w:r>
          </w:p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услуги отопления</w:t>
            </w:r>
          </w:p>
        </w:tc>
        <w:tc>
          <w:tcPr>
            <w:tcW w:w="2551" w:type="dxa"/>
          </w:tcPr>
          <w:p w:rsidR="005A3811" w:rsidRDefault="005A3811" w:rsidP="00B3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2022-2023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Pr="005026D4" w:rsidRDefault="005A3811" w:rsidP="00B52B96">
            <w:pPr>
              <w:jc w:val="both"/>
            </w:pPr>
            <w:r>
              <w:t xml:space="preserve">2023-2024 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811" w:rsidTr="00B52B96">
        <w:tc>
          <w:tcPr>
            <w:tcW w:w="709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A3811" w:rsidRDefault="005A3811" w:rsidP="00B52B96">
            <w:pPr>
              <w:jc w:val="both"/>
            </w:pPr>
            <w:r w:rsidRPr="005026D4">
              <w:t>2024-2025</w:t>
            </w:r>
          </w:p>
        </w:tc>
        <w:tc>
          <w:tcPr>
            <w:tcW w:w="2551" w:type="dxa"/>
          </w:tcPr>
          <w:p w:rsidR="005A3811" w:rsidRDefault="00EF244F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3811" w:rsidRPr="00B52B96" w:rsidRDefault="005A3811" w:rsidP="005A3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3. Организационные и технические мероприятия по подготовке к</w:t>
      </w:r>
    </w:p>
    <w:p w:rsidR="000111E5" w:rsidRPr="00B52B96" w:rsidRDefault="005A3811" w:rsidP="005A3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отопительному периоду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95"/>
        <w:gridCol w:w="7867"/>
        <w:gridCol w:w="1497"/>
      </w:tblGrid>
      <w:tr w:rsidR="005A3811" w:rsidTr="00DC219D">
        <w:tc>
          <w:tcPr>
            <w:tcW w:w="695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7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мероприятий, работ</w:t>
            </w:r>
          </w:p>
        </w:tc>
        <w:tc>
          <w:tcPr>
            <w:tcW w:w="1497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811" w:rsidTr="00DC219D">
        <w:tc>
          <w:tcPr>
            <w:tcW w:w="695" w:type="dxa"/>
          </w:tcPr>
          <w:p w:rsidR="005A3811" w:rsidRDefault="005A3811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67" w:type="dxa"/>
          </w:tcPr>
          <w:p w:rsidR="005A3811" w:rsidRDefault="005A3811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закрытие системы отопления</w:t>
            </w:r>
          </w:p>
        </w:tc>
        <w:tc>
          <w:tcPr>
            <w:tcW w:w="1497" w:type="dxa"/>
          </w:tcPr>
          <w:p w:rsidR="00FD342E" w:rsidRDefault="00FD342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A3811" w:rsidRDefault="001A2753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5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59A" w:rsidTr="00DC219D">
        <w:tc>
          <w:tcPr>
            <w:tcW w:w="695" w:type="dxa"/>
          </w:tcPr>
          <w:p w:rsidR="003E759A" w:rsidRDefault="00B724B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67" w:type="dxa"/>
          </w:tcPr>
          <w:p w:rsidR="003E759A" w:rsidRPr="005A3811" w:rsidRDefault="003E759A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требования, установленные </w:t>
            </w:r>
            <w:hyperlink r:id="rId7" w:anchor="l1026" w:tgtFrame="_blank" w:history="1">
              <w:r w:rsidRPr="003E7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частью 6</w:t>
              </w:r>
            </w:hyperlink>
            <w:r w:rsidRPr="003E759A">
              <w:rPr>
                <w:rFonts w:ascii="Times New Roman" w:hAnsi="Times New Roman" w:cs="Times New Roman"/>
                <w:sz w:val="28"/>
                <w:szCs w:val="28"/>
              </w:rPr>
              <w:t xml:space="preserve"> статьи 20 и </w:t>
            </w:r>
            <w:hyperlink r:id="rId8" w:anchor="l962" w:tgtFrame="_blank" w:history="1">
              <w:r w:rsidRPr="003E7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частью 3</w:t>
              </w:r>
            </w:hyperlink>
            <w:r w:rsidRPr="003E759A">
              <w:rPr>
                <w:rFonts w:ascii="Times New Roman" w:hAnsi="Times New Roman" w:cs="Times New Roman"/>
                <w:sz w:val="28"/>
                <w:szCs w:val="28"/>
              </w:rPr>
              <w:t xml:space="preserve"> статьи 23.2 Федерального закона о теплоснабжении.</w:t>
            </w:r>
          </w:p>
        </w:tc>
        <w:tc>
          <w:tcPr>
            <w:tcW w:w="1497" w:type="dxa"/>
          </w:tcPr>
          <w:p w:rsidR="003E759A" w:rsidRPr="001A2753" w:rsidRDefault="003E759A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811" w:rsidTr="00DC219D">
        <w:tc>
          <w:tcPr>
            <w:tcW w:w="695" w:type="dxa"/>
          </w:tcPr>
          <w:p w:rsidR="005A3811" w:rsidRDefault="00B724B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67" w:type="dxa"/>
          </w:tcPr>
          <w:p w:rsidR="00DC219D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технического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здания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C219D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визуального осмотра основных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конструкций здания; </w:t>
            </w:r>
          </w:p>
          <w:p w:rsidR="00DC219D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-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 xml:space="preserve">осмотра кровельного покрытия здания; </w:t>
            </w:r>
          </w:p>
          <w:p w:rsidR="003E759A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проведение осмотра тепловой изоляции</w:t>
            </w:r>
            <w:r w:rsidR="003E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 xml:space="preserve">фасада здания; </w:t>
            </w:r>
          </w:p>
          <w:p w:rsidR="00DC219D" w:rsidRPr="00DC219D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- проведение осмотра</w:t>
            </w:r>
            <w:r w:rsidR="003E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гидроизоляции цоколя и подвальных</w:t>
            </w:r>
          </w:p>
          <w:p w:rsidR="005A3811" w:rsidRDefault="00DC219D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9D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r w:rsidR="005A3811" w:rsidRPr="005A3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5A3811" w:rsidRDefault="003E759A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53">
              <w:rPr>
                <w:rFonts w:ascii="Times New Roman" w:hAnsi="Times New Roman" w:cs="Times New Roman"/>
                <w:sz w:val="28"/>
                <w:szCs w:val="28"/>
              </w:rPr>
              <w:t>июнь-август 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724BE" w:rsidTr="00DC219D">
        <w:tc>
          <w:tcPr>
            <w:tcW w:w="695" w:type="dxa"/>
          </w:tcPr>
          <w:p w:rsidR="00B724BE" w:rsidRDefault="00B724B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867" w:type="dxa"/>
          </w:tcPr>
          <w:p w:rsidR="00B724BE" w:rsidRPr="00DC219D" w:rsidRDefault="00B724BE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4BE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за 5 рабочих дней до дня проведения испытаний на плотность и прочность (гидравлических испытаний)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</w:t>
            </w:r>
            <w:proofErr w:type="spellStart"/>
            <w:r w:rsidRPr="00B724BE">
              <w:rPr>
                <w:rFonts w:ascii="Times New Roman" w:hAnsi="Times New Roman" w:cs="Times New Roman"/>
                <w:sz w:val="28"/>
                <w:szCs w:val="28"/>
              </w:rPr>
              <w:t>теплопотребляющим</w:t>
            </w:r>
            <w:proofErr w:type="spellEnd"/>
            <w:r w:rsidRPr="00B724BE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установкам на весь период проведения гидравлических испытаний</w:t>
            </w:r>
          </w:p>
        </w:tc>
        <w:tc>
          <w:tcPr>
            <w:tcW w:w="1497" w:type="dxa"/>
          </w:tcPr>
          <w:p w:rsidR="00B724BE" w:rsidRPr="001A2753" w:rsidRDefault="00B724B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811" w:rsidTr="00DC219D">
        <w:tc>
          <w:tcPr>
            <w:tcW w:w="695" w:type="dxa"/>
          </w:tcPr>
          <w:p w:rsidR="005A3811" w:rsidRDefault="00B724BE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67" w:type="dxa"/>
          </w:tcPr>
          <w:p w:rsidR="005A3811" w:rsidRDefault="00B724BE" w:rsidP="00DC2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3811" w:rsidRPr="005A3811"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системы отопления к проведению гидравлических</w:t>
            </w:r>
            <w:r w:rsidR="00DC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811" w:rsidRPr="005A3811">
              <w:rPr>
                <w:rFonts w:ascii="Times New Roman" w:hAnsi="Times New Roman" w:cs="Times New Roman"/>
                <w:sz w:val="28"/>
                <w:szCs w:val="28"/>
              </w:rPr>
              <w:t xml:space="preserve">испытаний на прочность и плотность внутренних систем </w:t>
            </w:r>
            <w:proofErr w:type="spellStart"/>
            <w:r w:rsidR="005A3811" w:rsidRPr="005A3811">
              <w:rPr>
                <w:rFonts w:ascii="Times New Roman" w:hAnsi="Times New Roman" w:cs="Times New Roman"/>
                <w:sz w:val="28"/>
                <w:szCs w:val="28"/>
              </w:rPr>
              <w:t>теплорснабжени</w:t>
            </w:r>
            <w:r w:rsidR="005A38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497" w:type="dxa"/>
          </w:tcPr>
          <w:p w:rsidR="005A3811" w:rsidRDefault="003E759A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До 31.0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4219" w:rsidTr="00DC219D">
        <w:tc>
          <w:tcPr>
            <w:tcW w:w="695" w:type="dxa"/>
          </w:tcPr>
          <w:p w:rsidR="00CF4219" w:rsidRDefault="00CF4219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67" w:type="dxa"/>
          </w:tcPr>
          <w:p w:rsidR="00CF4219" w:rsidRPr="005A3811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осмотр отопительной системы: радиаторов, трубопровода</w:t>
            </w:r>
          </w:p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811">
              <w:rPr>
                <w:rFonts w:ascii="Times New Roman" w:hAnsi="Times New Roman" w:cs="Times New Roman"/>
                <w:sz w:val="28"/>
                <w:szCs w:val="28"/>
              </w:rPr>
              <w:t>теплопотребляющей</w:t>
            </w:r>
            <w:proofErr w:type="spellEnd"/>
            <w:r w:rsidRPr="005A3811">
              <w:rPr>
                <w:rFonts w:ascii="Times New Roman" w:hAnsi="Times New Roman" w:cs="Times New Roman"/>
                <w:sz w:val="28"/>
                <w:szCs w:val="28"/>
              </w:rPr>
              <w:t xml:space="preserve"> энергоустановки</w:t>
            </w:r>
          </w:p>
        </w:tc>
        <w:tc>
          <w:tcPr>
            <w:tcW w:w="1497" w:type="dxa"/>
          </w:tcPr>
          <w:p w:rsidR="00CF4219" w:rsidRPr="003E759A" w:rsidRDefault="00CF4219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E759A" w:rsidTr="00DC219D">
        <w:tc>
          <w:tcPr>
            <w:tcW w:w="695" w:type="dxa"/>
          </w:tcPr>
          <w:p w:rsidR="003E759A" w:rsidRDefault="00CF4219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67" w:type="dxa"/>
          </w:tcPr>
          <w:p w:rsidR="003E759A" w:rsidRPr="005A3811" w:rsidRDefault="003E759A" w:rsidP="003E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Восстановление изоляции трубопровода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системы отопления</w:t>
            </w:r>
          </w:p>
        </w:tc>
        <w:tc>
          <w:tcPr>
            <w:tcW w:w="1497" w:type="dxa"/>
          </w:tcPr>
          <w:p w:rsidR="003E759A" w:rsidRPr="003E759A" w:rsidRDefault="003E759A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До 31.0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3811" w:rsidTr="00DC219D">
        <w:tc>
          <w:tcPr>
            <w:tcW w:w="695" w:type="dxa"/>
          </w:tcPr>
          <w:p w:rsidR="005A3811" w:rsidRDefault="00CF4219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67" w:type="dxa"/>
          </w:tcPr>
          <w:p w:rsidR="005A3811" w:rsidRDefault="00B724BE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3811" w:rsidRPr="005A3811">
              <w:rPr>
                <w:rFonts w:ascii="Times New Roman" w:hAnsi="Times New Roman" w:cs="Times New Roman"/>
                <w:sz w:val="28"/>
                <w:szCs w:val="28"/>
              </w:rPr>
              <w:t>одготовка системы отопления к отопительному периоду 2025-2026</w:t>
            </w:r>
          </w:p>
        </w:tc>
        <w:tc>
          <w:tcPr>
            <w:tcW w:w="1497" w:type="dxa"/>
          </w:tcPr>
          <w:p w:rsidR="005A3811" w:rsidRDefault="003E759A" w:rsidP="00A8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До 31.0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75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A3811" w:rsidRPr="00B52B96" w:rsidRDefault="005A3811" w:rsidP="005A3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4. Перечень документов, оформляемых в ходе подготовки к</w:t>
      </w:r>
    </w:p>
    <w:p w:rsidR="005A3811" w:rsidRPr="00B52B96" w:rsidRDefault="005A3811" w:rsidP="005A3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96">
        <w:rPr>
          <w:rFonts w:ascii="Times New Roman" w:hAnsi="Times New Roman" w:cs="Times New Roman"/>
          <w:b/>
          <w:sz w:val="28"/>
          <w:szCs w:val="28"/>
        </w:rPr>
        <w:t>отопительному периоду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0"/>
        <w:gridCol w:w="8023"/>
        <w:gridCol w:w="1476"/>
      </w:tblGrid>
      <w:tr w:rsidR="005A3811" w:rsidTr="00B724BE">
        <w:tc>
          <w:tcPr>
            <w:tcW w:w="560" w:type="dxa"/>
          </w:tcPr>
          <w:p w:rsidR="005A3811" w:rsidRDefault="00B52B96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23" w:type="dxa"/>
          </w:tcPr>
          <w:p w:rsidR="005A3811" w:rsidRDefault="00B52B96" w:rsidP="005A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1476" w:type="dxa"/>
          </w:tcPr>
          <w:p w:rsidR="005A3811" w:rsidRPr="00B52B96" w:rsidRDefault="00B52B96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B96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5A3811" w:rsidTr="00B724BE">
        <w:tc>
          <w:tcPr>
            <w:tcW w:w="560" w:type="dxa"/>
          </w:tcPr>
          <w:p w:rsidR="005A3811" w:rsidRDefault="00B724BE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23" w:type="dxa"/>
          </w:tcPr>
          <w:p w:rsidR="005A3811" w:rsidRDefault="00B724BE" w:rsidP="00FD3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4BE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обследования дымовых и вентиляционных каналов многоквартирных домов перед отопительным периодом, копия действующего (действующих) документа (документов), подтверждающих выполнение технического обслуживания </w:t>
            </w:r>
            <w:r w:rsidR="00FD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4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B724BE">
              <w:rPr>
                <w:rFonts w:ascii="Times New Roman" w:hAnsi="Times New Roman" w:cs="Times New Roman"/>
                <w:sz w:val="28"/>
                <w:szCs w:val="28"/>
              </w:rPr>
              <w:t>многоквартирном</w:t>
            </w:r>
            <w:proofErr w:type="gramEnd"/>
            <w:r w:rsidRPr="00B724BE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</w:tc>
        <w:tc>
          <w:tcPr>
            <w:tcW w:w="1476" w:type="dxa"/>
          </w:tcPr>
          <w:p w:rsidR="005A3811" w:rsidRDefault="00B724BE" w:rsidP="00A8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0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82C00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4219" w:rsidTr="00B724BE">
        <w:tc>
          <w:tcPr>
            <w:tcW w:w="560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23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Акт проверки (осмотра) запорной арматуры, в том числе в высших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(воздушники) и низших точках трубопровода (</w:t>
            </w:r>
            <w:proofErr w:type="spellStart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спускники</w:t>
            </w:r>
            <w:proofErr w:type="spellEnd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) и арматуры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постоянного регулирования на предмет наличия и работоспособности,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плотности (герметичности) сальниковых уплотнений, 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теплоизоляции в соответствии с проектными решениями, 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соответствующих неповрежденных пломб,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теплоснабжающими и </w:t>
            </w:r>
            <w:proofErr w:type="spellStart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теплосетевыми</w:t>
            </w:r>
            <w:proofErr w:type="spellEnd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76" w:type="dxa"/>
          </w:tcPr>
          <w:p w:rsidR="00CF4219" w:rsidRDefault="00CF4219" w:rsidP="00A8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00">
              <w:rPr>
                <w:rFonts w:ascii="Times New Roman" w:hAnsi="Times New Roman" w:cs="Times New Roman"/>
                <w:sz w:val="28"/>
                <w:szCs w:val="28"/>
              </w:rPr>
              <w:t>до 20.08.202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4219" w:rsidTr="00B724BE">
        <w:tc>
          <w:tcPr>
            <w:tcW w:w="560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3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Акты осмотра объектов теплоснабжения и </w:t>
            </w:r>
            <w:proofErr w:type="spellStart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на предмет наличия несанкционированных врезок для разбора сетевой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или потребления тепловой энергии на </w:t>
            </w:r>
            <w:proofErr w:type="spellStart"/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энергоустановках, или для переключения закрытой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теплоснабжения на открытую систему теплоснабжения с разбором сетевой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воды или отступлений от проектного решения</w:t>
            </w:r>
          </w:p>
        </w:tc>
        <w:tc>
          <w:tcPr>
            <w:tcW w:w="1476" w:type="dxa"/>
          </w:tcPr>
          <w:p w:rsidR="00CF4219" w:rsidRDefault="00CF4219" w:rsidP="00A8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00">
              <w:rPr>
                <w:rFonts w:ascii="Times New Roman" w:hAnsi="Times New Roman" w:cs="Times New Roman"/>
                <w:sz w:val="28"/>
                <w:szCs w:val="28"/>
              </w:rPr>
              <w:t>до 20.08.202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4219" w:rsidTr="00B724BE">
        <w:tc>
          <w:tcPr>
            <w:tcW w:w="560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23" w:type="dxa"/>
          </w:tcPr>
          <w:p w:rsidR="00CF4219" w:rsidRDefault="00CF4219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Акт сверки расчетов за поставленные тепловую энергию (мощность),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теплоноситель, горячую воду, оказание услуг по поддержанию резервной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тепловой мощности по состоянию на дату проверки, подтверждающий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задолженности, либо подписанное сторонами соглашение,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подтверждающее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урегулирование с теплоснабжающей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порядка погашения всей существующей задолженнос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476" w:type="dxa"/>
          </w:tcPr>
          <w:p w:rsidR="00CF4219" w:rsidRDefault="00CF4219" w:rsidP="00A8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20.08.202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577F" w:rsidTr="00B724BE">
        <w:tc>
          <w:tcPr>
            <w:tcW w:w="560" w:type="dxa"/>
          </w:tcPr>
          <w:p w:rsidR="0040577F" w:rsidRDefault="0040577F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023" w:type="dxa"/>
          </w:tcPr>
          <w:p w:rsidR="0040577F" w:rsidRPr="00B52B96" w:rsidRDefault="0040577F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промывки гидравлических испытаний</w:t>
            </w:r>
          </w:p>
        </w:tc>
        <w:tc>
          <w:tcPr>
            <w:tcW w:w="1476" w:type="dxa"/>
          </w:tcPr>
          <w:p w:rsidR="0040577F" w:rsidRPr="00D82C00" w:rsidRDefault="0040577F" w:rsidP="00CF4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811" w:rsidTr="00B724BE">
        <w:tc>
          <w:tcPr>
            <w:tcW w:w="560" w:type="dxa"/>
          </w:tcPr>
          <w:p w:rsidR="005A3811" w:rsidRDefault="0040577F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23" w:type="dxa"/>
          </w:tcPr>
          <w:p w:rsidR="005A3811" w:rsidRDefault="00B52B96" w:rsidP="00B5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96">
              <w:rPr>
                <w:rFonts w:ascii="Times New Roman" w:hAnsi="Times New Roman" w:cs="Times New Roman"/>
                <w:sz w:val="28"/>
                <w:szCs w:val="28"/>
              </w:rPr>
              <w:t>получение паспорта готовности к отопительному периоду</w:t>
            </w:r>
          </w:p>
        </w:tc>
        <w:tc>
          <w:tcPr>
            <w:tcW w:w="1476" w:type="dxa"/>
          </w:tcPr>
          <w:p w:rsidR="005A3811" w:rsidRDefault="00D82C00" w:rsidP="00A8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00">
              <w:rPr>
                <w:rFonts w:ascii="Times New Roman" w:hAnsi="Times New Roman" w:cs="Times New Roman"/>
                <w:sz w:val="28"/>
                <w:szCs w:val="28"/>
              </w:rPr>
              <w:t>до 15.09.202</w:t>
            </w:r>
            <w:r w:rsidR="00A80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8F4CA6" w:rsidRDefault="008F4CA6" w:rsidP="008F4C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CA6" w:rsidRDefault="008F4CA6" w:rsidP="008F4C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CA6" w:rsidRDefault="008F4CA6" w:rsidP="008F4C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794" w:rsidRDefault="0040577F" w:rsidP="00F34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76794" w:rsidRPr="000111E5" w:rsidRDefault="00876794" w:rsidP="00F34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400" w:rsidRPr="000111E5" w:rsidRDefault="00E924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2400" w:rsidRPr="000111E5" w:rsidSect="008F4CA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00" w:rsidRDefault="00E94000" w:rsidP="00E92400">
      <w:pPr>
        <w:spacing w:after="0" w:line="240" w:lineRule="auto"/>
      </w:pPr>
      <w:r>
        <w:separator/>
      </w:r>
    </w:p>
  </w:endnote>
  <w:endnote w:type="continuationSeparator" w:id="0">
    <w:p w:rsidR="00E94000" w:rsidRDefault="00E94000" w:rsidP="00E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00" w:rsidRDefault="00E94000" w:rsidP="00E92400">
      <w:pPr>
        <w:spacing w:after="0" w:line="240" w:lineRule="auto"/>
      </w:pPr>
      <w:r>
        <w:separator/>
      </w:r>
    </w:p>
  </w:footnote>
  <w:footnote w:type="continuationSeparator" w:id="0">
    <w:p w:rsidR="00E94000" w:rsidRDefault="00E94000" w:rsidP="00E92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88"/>
    <w:rsid w:val="000111E5"/>
    <w:rsid w:val="00095542"/>
    <w:rsid w:val="001A0F88"/>
    <w:rsid w:val="001A2753"/>
    <w:rsid w:val="003E759A"/>
    <w:rsid w:val="0040577F"/>
    <w:rsid w:val="004666AA"/>
    <w:rsid w:val="005A3811"/>
    <w:rsid w:val="00876794"/>
    <w:rsid w:val="008F4CA6"/>
    <w:rsid w:val="00A80B34"/>
    <w:rsid w:val="00A87143"/>
    <w:rsid w:val="00AD2FB4"/>
    <w:rsid w:val="00B372AE"/>
    <w:rsid w:val="00B52B96"/>
    <w:rsid w:val="00B724BE"/>
    <w:rsid w:val="00C95749"/>
    <w:rsid w:val="00CF4219"/>
    <w:rsid w:val="00D82C00"/>
    <w:rsid w:val="00D92AD3"/>
    <w:rsid w:val="00DC219D"/>
    <w:rsid w:val="00E30113"/>
    <w:rsid w:val="00E92400"/>
    <w:rsid w:val="00E94000"/>
    <w:rsid w:val="00EF244F"/>
    <w:rsid w:val="00F34A3A"/>
    <w:rsid w:val="00FD342E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2400"/>
  </w:style>
  <w:style w:type="paragraph" w:styleId="a9">
    <w:name w:val="footer"/>
    <w:basedOn w:val="a"/>
    <w:link w:val="aa"/>
    <w:uiPriority w:val="99"/>
    <w:unhideWhenUsed/>
    <w:rsid w:val="00E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2400"/>
  </w:style>
  <w:style w:type="paragraph" w:styleId="a9">
    <w:name w:val="footer"/>
    <w:basedOn w:val="a"/>
    <w:link w:val="aa"/>
    <w:uiPriority w:val="99"/>
    <w:unhideWhenUsed/>
    <w:rsid w:val="00E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69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69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2025-04-30T06:31:00Z</cp:lastPrinted>
  <dcterms:created xsi:type="dcterms:W3CDTF">2025-04-30T06:52:00Z</dcterms:created>
  <dcterms:modified xsi:type="dcterms:W3CDTF">2026-03-18T02:09:00Z</dcterms:modified>
</cp:coreProperties>
</file>