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3" w:rsidRPr="008A2125" w:rsidRDefault="00904F13" w:rsidP="0090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8A212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Пояснительная записка к </w:t>
      </w:r>
      <w:r w:rsidRPr="008A2125">
        <w:rPr>
          <w:rFonts w:ascii="Times New Roman" w:hAnsi="Times New Roman"/>
          <w:b/>
          <w:sz w:val="28"/>
          <w:szCs w:val="28"/>
        </w:rPr>
        <w:t xml:space="preserve">Докладу о достигнутых значениях показателей </w:t>
      </w:r>
    </w:p>
    <w:p w:rsidR="00904F13" w:rsidRPr="008A2125" w:rsidRDefault="00904F13" w:rsidP="0090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A2125">
        <w:rPr>
          <w:rFonts w:ascii="Times New Roman" w:hAnsi="Times New Roman"/>
          <w:b/>
          <w:sz w:val="28"/>
          <w:szCs w:val="28"/>
        </w:rPr>
        <w:t>для оценки эффективности деятельности органов местного самоуправления Нижнеингашского района за 2023 год</w:t>
      </w:r>
    </w:p>
    <w:p w:rsidR="002F0F47" w:rsidRPr="008A2125" w:rsidRDefault="00904F13" w:rsidP="0090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125">
        <w:rPr>
          <w:rFonts w:ascii="Times New Roman" w:hAnsi="Times New Roman"/>
          <w:b/>
          <w:sz w:val="28"/>
          <w:szCs w:val="28"/>
        </w:rPr>
        <w:t xml:space="preserve"> и их планируемых значениях на 3-летний период</w:t>
      </w:r>
    </w:p>
    <w:p w:rsidR="00904F13" w:rsidRPr="00904F13" w:rsidRDefault="00904F13" w:rsidP="0090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Согласно отдельных данных статистической отчетности на территории Нижнеингашского района в 2023 году осуществляли деятельность 361 субъект малого и среднего предпринимательства (316 - ИП, 45 - ЮЛ), что составило  153,75 единиц на 10 тыс. человек населения района (в 2022 году – 149,20). Показатель увеличился на 3,1% по сравнению с 2022 годом. Увеличение произошло, т.к. снизилось количество населения по сравнению с предыдущим годом (2022 год – 23928 чел.; 2023 год – 23480 чел.).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Число субъектов малого и среднего предпринимательства на 10 тыс. человек населения в 2024 году ожидается на уровне  157,15 единиц на 10 тыс. человек населения района.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прогнозном периоде планируется повышение показателя, т.к. планируется увеличение количества субъектов МСП к 2026 году на 1,1% по сравнению с отчетным периодом, а также снижение количества населения к 2026 году на 6,5 % по сравнению с отчетным периодом.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2. Доля среднесписочной численности работников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(без внешних совместителей) малых и средних предприятий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среднесписочной численности работников (без внешних совместителей) всех предприятий и организаций.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района за 2023 год составила 23,31 % (в 2022 г. – 23,33%).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остался практически на уровне 2022 года, на что повлияло то, что  среднесписочная численность работников (без субъектов МСП) в районе уменьшилась на 41 человека по сравнению с уровнем прошлого года,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увеличилось количество субъектов МСП на 1,1%. По данным статистической отчетности  среднесписочная численность работников (без внешних совместителей) крупных и средних предприятий и некоммерческих организаций (без субъектов МСП) снизилась на 1,5% (в 2021г.-5499; в 2022г.- 5243).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среднесписочной численности работников (без внешних совместителей) крупных и средних предприятий и некоммерческих организаций (без субъектов МСП) в 2024 году ожидается на уровне 23,45%. В 2025 году планируется увеличение показателя до 23,67%, а в 2026 году до 23,86%.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Нижнеингашского района, начиная с 2011 года, сохраняет все механизмы поддержки предпринимательства и обеспечивает равный доступ организаций бизнеса к принимаемым со стороны муниципалитета мерам поддержки. С целью создания благоприятных условий для устойчивого функционирования и развития малого и среднего предпринимательства на территории  района действует муниципальная программа "Развитие субъектов малого и среднего предпринимательства на территории Нижнеингашского района". Основные меры муниципальной поддержки сосредоточены в следующих направлениях: финансовая поддержка, консультационно-информационная, имущественная поддержка. На официальном сайте администрации района ведется раздел "Поддержка предпринимательской деятельности", в котором размещается информация для субъектов предпринимательства.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совершенствованию форм и  методов государственной и муниципальной поддержки  субъектов   предпринимательства,   создания благоприятных   условий    для   их    деятельности   на    территории района, увеличилось количество субъектов малого и среднего предпринимательства и  самозанятых граждан в районе.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востребованной формой поддержки предпринимательства и самозанятых граждан в настоящее время является прямая финансовая.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Центром занятости населения Нижнеингашского района ежегодно предоставляется поддержка безработным гражданам на открытие собственного дела.  Территориальным отделом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КГКУ «Управление социальной защиты населения»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государственная помощь на основании социального контракта</w:t>
      </w:r>
      <w:r>
        <w:rPr>
          <w:rFonts w:ascii="Times New Roman CYR" w:hAnsi="Times New Roman CYR" w:cs="Times New Roman CYR"/>
          <w:color w:val="404040"/>
          <w:kern w:val="24"/>
          <w:sz w:val="56"/>
          <w:szCs w:val="56"/>
        </w:rPr>
        <w:t xml:space="preserve"> </w:t>
      </w:r>
      <w:r>
        <w:rPr>
          <w:rFonts w:ascii="Times New Roman CYR" w:hAnsi="Times New Roman CYR" w:cs="Times New Roman CYR"/>
          <w:kern w:val="24"/>
          <w:sz w:val="28"/>
          <w:szCs w:val="28"/>
        </w:rPr>
        <w:t>отдельным категориям граждан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районе действует офис представительства центра «Мой бизнес». Самозанятые граждане и предприниматели района, а также те, кто только намерен начать своё дело, могут получить в режиме «одного окна» более 200 различных услуг для старта или развития бизнеса. Это информационно-консультационные услуги, помощь в бизнес-планировании, обучение, льготные микрозаймы и т.д.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Предпринимательская активность в районе имеет тенденции к росту, что связано, в том числе, с реальной возможностью получить муниципальную поддержку в виде субсидий.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69"/>
        <w:gridCol w:w="1068"/>
        <w:gridCol w:w="1276"/>
        <w:gridCol w:w="1134"/>
        <w:gridCol w:w="992"/>
        <w:gridCol w:w="868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2022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2023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2024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 прогноз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 Количество малых и микропредприятий, ед.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 Количество средних предприятий, ед.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 Количество индивидуальных предпринимателей, ед.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3.1. в том числе количество крестьянско-фермерских хозяйств, ед.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22 971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22 464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21 959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161,59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166,22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7.1. в том числе в крестьянско-фермерских хозяйствах, 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5 083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5 042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23,86</w:t>
            </w:r>
          </w:p>
        </w:tc>
      </w:tr>
    </w:tbl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2023 году в развитии инвестиционной сферы Нижнеингашского района наблюдается снижение объема инвестиций в основной капитал,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использованный на развитие экономики района. Поступление в экономику района инвестиций за 2023 год уменьшилось по сравнению с аналогичным периодом прошлого года на 64,4% и </w:t>
      </w:r>
      <w:r>
        <w:rPr>
          <w:rFonts w:ascii="Times New Roman CYR" w:hAnsi="Times New Roman CYR" w:cs="Times New Roman CYR"/>
          <w:sz w:val="24"/>
          <w:szCs w:val="24"/>
        </w:rPr>
        <w:t>составило 224 157,00 тысяч рублей (в 2022 году – 347 987,00 тысяч рублей). Уменьшение объема инвестиций  произошло, в основном, за счет бюджетных средств, которые снизились на 45,2% и составили 114 628,00 тысяч рублей (в 2022 году – 253 852,00 тысяч рублей).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прогнозируемом периоде объем инвестиций в основной капитал составит: в 2024 году – 236 933,95 тысяч рублей, в 2025 году – 249 965,32 тысяч рублей, в 2026 – 263 213,48 тысяч рублей.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2024 году планируется: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Строительство модульной котельной мощностью 5МВт п. Нижний Ингаш Нижнеингашского района, с распределением денежных средств в размере 32 000,00 тысяч рублей, год ввода 2024 год.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Строительство очистных сооружений канализации  мощностью 450 м3/сутки в п. Нижний Ингаш, с распределением денежных средств в размере 100 000,00 тысяч рублей.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Строительство централизованной системы холодного водоснабжения пгт Нижний Ингаш и с. Верхний Ингаш Нижнеингашского района, с распределением денежных средств в размере 19 846,70 тыс. рублей.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2025 год: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Строительство очистных сооружений канализации  мощностью 450 м3/сутки в п. Нижний Ингаш, с распределением денежных средств в размере 180 000,00 тысяч рублей, год ввода 2025 год.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Данный объем  включен в перечень строек и объектов, согласно Закона Красноярского края от 07.12.2023 года  № 6-2296 «О краевом бюджете на 2024 год и плановый период 2025-2026 годов», а также в рамках постановления № 686-п от 29.09.2021 «Об утверждении ГПКК «Комплексное территориальное развитие Красноярского края» на 2024 год.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Объем инвестиций в основной капитал (за исключением бюджетных средств) в расчете на 1 человека населения в 2023 году увеличился и составил 4620,70 рублей (2022 – 3662,98 рублей). Это связано с уменьшением среднегодовой численности постоянного населения Нижнеингашского района, которая в 2023 году составила – 23 704 человека (в 2022 году – 25 699 человек).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прогнозируемом периоде объем инвестиций в основной капитал (за исключением бюджетных средств) в расчете на 1 человека населения составит: в 2024 году – 4 984,59 рублей, в 2025 году – 5 376,34 рублей, в 2026 – 5 790,25 рублей.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С целью привлечения инвесторов сформирован перечень из 18 объектов муниципального имущества (из них 14 - земельные участки), которые могут быть использованы субъектами МСП для реализации инвестиционных проектов.  </w:t>
      </w:r>
    </w:p>
    <w:tbl>
      <w:tblPr>
        <w:tblW w:w="0" w:type="auto"/>
        <w:tblInd w:w="-621" w:type="dxa"/>
        <w:tblLayout w:type="fixed"/>
        <w:tblLook w:val="0000" w:firstRow="0" w:lastRow="0" w:firstColumn="0" w:lastColumn="0" w:noHBand="0" w:noVBand="0"/>
      </w:tblPr>
      <w:tblGrid>
        <w:gridCol w:w="8384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Расчетная таблица к показателю: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3. Объем инвестиций в основной капитал (за исключением бюджетных средств) в расчете на 1 жителя (по крупным и средним организациям)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882" w:type="dxa"/>
        <w:tblLayout w:type="fixed"/>
        <w:tblLook w:val="0000" w:firstRow="0" w:lastRow="0" w:firstColumn="0" w:lastColumn="0" w:noHBand="0" w:noVBand="0"/>
      </w:tblPr>
      <w:tblGrid>
        <w:gridCol w:w="4126"/>
        <w:gridCol w:w="1418"/>
        <w:gridCol w:w="1275"/>
        <w:gridCol w:w="1100"/>
        <w:gridCol w:w="1151"/>
        <w:gridCol w:w="1190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2022 факт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факт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2024 оценка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2025 прогноз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347 987,00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224 157,00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236 933,95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249 965,32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263 213,48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64,42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105,30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1.2. Индекс-дефлятор,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105,30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1.3. Темп роста в сопоставимых ценах, к соответствующему периоду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lastRenderedPageBreak/>
              <w:t>предыдущего года,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58,03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2. Инвестиции в основной капитал за счет бюджетных средств,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253 852,00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114 628,00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121 161,80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127 825,70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134 600,46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109 529,00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115 772,15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122 139,62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128 613,02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24 218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22 718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22 212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3 886,98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4 620,70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4 984,59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5 376,34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5 790,25</w:t>
            </w:r>
          </w:p>
        </w:tc>
      </w:tr>
    </w:tbl>
    <w:p w:rsidR="002F0F47" w:rsidRDefault="002F0F47">
      <w:pPr>
        <w:autoSpaceDE w:val="0"/>
        <w:autoSpaceDN w:val="0"/>
        <w:adjustRightInd w:val="0"/>
        <w:rPr>
          <w:rFonts w:ascii="Calibri" w:hAnsi="Calibri" w:cs="Calibri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Общая площадь территории Нижнеингашского района составляет 614339 га.Налогооблагаемая база по земельному налогу в 2023 году составила 4277,81 га и увеличилась к уровню 2023 года на 52,13 га. За 2023 год: предоставлено земель в собственность и постоянное (бессрочное) пользование – 53,21 га; прекращено право постоянного (бессрочного) пользования - 1,09 га.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4277,81:614339 х 100 = 0,70.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Несмотря на незначительное увеличение налогооблагаемой базы по земельному налогу в 2023 году, доля площади земельных участков, являющихся объектами налогообложения земельным налогом, по сравнению с 2022 годом увеличилась на 0,01.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Плановые показатели на 2024-2026 годы установлены по фактическим показателям, сложившимся в 2023 году.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территории Нижнеингашского района сельскохозяйственным производством занимаются 5 сельскохозяйственных предприятий. 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Все организации АПК, осуществляющие свою деятельность на территории муниципального образования Нижнеингашский район, являются прибыльными, доля прибыльных сельскохозяйственных организаций в общем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числе – 100 %. На период 2024 - 2026 годов планируется сохранение прибыльности предприятий.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Достижение показателей в 2023 году.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red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«Валовая продукция в хозяйствах всех категорий» плановое значение - произведено продукции на 1 914194,22 тыс. руб. (в 2022 году факт 1 757 861,0 тыс. руб.).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«Валовая продукция растениеводства в хозяйствах всех категорий» – 648 943,3 тыс. руб., (в 2022 году факт 606 456,8  тыс. руб.).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«Валовая продукция животноводства в хозяйствах всех категорий», достигнутое значение – 1 256 292,49 тыс. руб. (в 2022 году факт 1 151 404,2 тыс. руб.). 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«Увеличение посевных площадей в сельскохозяйственных и крестьянских (фермерских) хозяйствах района», посевные площади составили 20776,3 га, (в 2022 году – 20250,7 га.).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«Увеличение валового производства зерновых культур сельскохозяйственными производителями», валовое производство зерновых культур составило 45002,24 тонн (в 2022 году 42430,9 тонн). 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«Увеличение урожайности зерновых культур сельскохозяйственными производителями» составило 28,8  ц/га (в 2022 году – 29,1 ц/га.).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«Увеличение производства в сельскохозяйственной отрасли», в том числе за счет: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- увеличения площадей многолетних и однолетних трав на 100 га, факт составил 400 га (400% к плану) (в 2022 году – 300 га);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- производства новых высокоэффективных культур на 50 га, фактически посев таких культур составил 50 га., 100% (в 2022 году – 50 га);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- создания культурных пастбищ на 50 га, факт составил 50 га., 100%(в 2022 году – 50 га.).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«Увеличение поголовья крупного рогатого скота в сельхозпредприятиях» составило 3730 гол. (в 2022 году – 3191гол.).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«Увеличение поголовья дойного стада по хозяйствам» факт составил 765 голов (в 2022 году – 759 гол.).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«Увеличение производства молока в сельскохозяйственных организациях», за 2023 год произведено 3713,8 тонн молока, что на 241,8 тонны больше к 2022 году,  средний надой на одну фуражную корову 4815,5 кг, за 2023 год составил 4837,5 кг., что больше на 22 кг. в сравнении с 2022 годом.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прибыльности сельскохозяйственных организаций в растениеводстве удаётся достичь за счет проведения мероприятий, связанных с рациональным и своевременным использованием минеральных удобрений, средств защиты растений, проведения своевременных агротехнических работ,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произведением посева качественными райнироваными семенами, соответствующими требованиям ГОСТ.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животноводстве показатели достигаются путём увеличения поголовья КРС, увеличения количества и повышения качества кормовой базы, воспроизведения стада молочного направления путём искусственного осеменения. </w:t>
      </w:r>
    </w:p>
    <w:p w:rsidR="002F0F47" w:rsidRDefault="002F0F47">
      <w:pPr>
        <w:autoSpaceDE w:val="0"/>
        <w:autoSpaceDN w:val="0"/>
        <w:adjustRightInd w:val="0"/>
        <w:spacing w:after="0"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На территории Нижнеингашского района протяженность автомобильных дорог не отвечающих нормативным требованиям составляет 286,2 км. </w:t>
      </w:r>
      <w:r>
        <w:rPr>
          <w:rFonts w:ascii="Times New Roman CYR" w:hAnsi="Times New Roman CYR" w:cs="Times New Roman CYR"/>
          <w:sz w:val="24"/>
          <w:szCs w:val="24"/>
        </w:rPr>
        <w:t xml:space="preserve">Ежегодно в рамках ГП «Развитие транспортной системы» проводится ремонт, так в 2023 году за счет выделенных средств было отремонтировано 4,69 км дорог.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На территории Нижнеингашского района  расположено 7  малонаселенных пунктов, не имеющих регулярного автобусного и железнодорожного сообщения с административным центром  в которых проживают 48 человек: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551"/>
      </w:tblGrid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Среднегодовая численность населения, человек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 Локатуй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 Ильинка (Александровский с.с.)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 Байкалово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 Ильинка (Стретенский сельсовет)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 Копейка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п. Прохладный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 Южная Тунгуска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8.1. крупных и средних предприятий и некоммерческих организаций;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среднемесячная номинальная начисленная заработная плата работников крупных и средних предприятий и некоммерческих организаций увеличилась на 13,84 % и составила 49 782,70 рубля.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произошел рост заработной платы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крупных и средних предприятий и некоммерческих организаций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, в связи с достижением контрольных показателей, в соответствии с Указами Президента по повышению оплаты труда по отдельным категориям работникам бюджетной сферы, индексации оплаты труда работникам бюджетной сферы с 01.07.2023,  увеличением минимального размера оплаты труда с 01.01.2023, так же в прогнозных периодах 2024 - 2026 гг. планируется повышение заработной платы. Заключено Соглашение по регулированию социально-трудовых отношений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администрацией Нижнеингашского района, объединением профсоюзов и объединением работодателей Нижнеингашского района, в котором работодатели обязуются ежегодно проводить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индексацию заработной платы в соответствии с повышением уровня реальных цен и инфляцией.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Заработная плата работников дошкольных образовательных учреждений в 2023 году увеличилась на 2 733,5 рублей и составила   34 852,40руб. Увеличение произошло за счёт увеличения окладов работников образования и в связи с открытием групп комбинированной направленности. В прогнозные годы планируется увеличение показателя.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8.3. муниципальных общеобразовательных учреждений;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среднемесячную номинальную начисленную заработную плату работников муниципальных общеобразовательных учреждений за 12 месяцев 2023 года  по сравнению с  12 месяцами 2022 года, наблюдается увеличение на 3339,9 руб., за счёт увеличения окладов работников образования.</w:t>
      </w:r>
    </w:p>
    <w:p w:rsidR="002F0F47" w:rsidRDefault="002F0F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среднемесячная номинальная начисленная заработная плата составила 42204,3руб. В прогнозные годы планируется увеличение показателя до 45942, 98руб.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 номинальная  начисленная  заработная  плата  учителей муниципальных общеобразовательных учреждений Нижнеингашского района в 2023 году выросла на 3249,12 руб. и составила 55425,72руб., за счёт увеличения окладов работников образования.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показателя уменьшилось в 2023 году на 2,91 %. Уменьшение произошло за счет снижения в районе количества детей данной возрастной категории.</w:t>
      </w:r>
    </w:p>
    <w:p w:rsidR="002F0F47" w:rsidRDefault="002F0F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Планируется, что показатель к 2026 году останется на уровне показателя 2023 года. Все дети, желающие посещать детский сад в возрасте от 1 до 6 лет, обеспечены местами.Планируется, что показатель к 2026 году останется на уровне показателя 2023 года. Все дети, желающие посещать детский сад в возрасте от 1 до 6 лет, обеспечены местами.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1-6 лет, состоящих на учете для определения  в муниципальные дошкольные образовательные  учреждения в общей численности детей в возрасте 1-6 лет за 2023 год  по сравнению с 2022 годом, остался на одном уровне и составил 0 %.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районе отсутствует проблема с очередностью детей от 3 до 7 лет в детские сады, поэтому показатель к 2026 году останется на уровне 2023 года.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отсутствуют дошкольные образовательные учреждения, здания которых на начало учебного года находились в аварийном состоянии или требовали капитального ремонта.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подготовки к новому учебному году ежегодно проводится комплекс мероприятий по текущему ремонту с целью создания надлежащих условий. Показатель  к 2026 году останется на уровне 2023года.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численности выпускников, не получивших аттестат о среднем  образовании, в 2023 году составляет  0 % (Все выпускники средних школ (119 чел.) получили аттестат о среднем общем образовании). </w:t>
      </w:r>
    </w:p>
    <w:p w:rsidR="002F0F47" w:rsidRDefault="002F0F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Планируется, что показатель к 2026 году составит 0,6 %.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остается на уровне 2022 года и составляет 89,0%.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Остаются общеобразовательные организации (МБОУ НСОШ № 1 имени П.И. Шатова, МБОУ «Нижнеингашская СШ №2» имени Б.М. Катышева и МБОУ «Тинская СШ №2»), которым по результатам проведённого обследования строительных конструкций и инженерных сетей, требует капитальный ремонт.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 остается на уровне 2022 года и составляет 16,7%.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Трём общеобразовательным организациям (МБОУ НСОШ № 1 имени П.И. Шатова, МБОУ «Нижнеингашская СШ №2» имени Б.М. Катышева и МБОУ «Тинская СШ №2») необходим капитальный ремонт здания.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численности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обучающихся в муниципальных общеобразовательных учреждениях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первой и второй групп здоровья в 2023 году составила 92,65%, что на 0,37% выше уровня 2022 года. Увеличения показателя связано с ранним диагностированием заболеваний детей при прохождении медицинского осмотра при поступлении в образовательные учреждения и в период обучения в них и увеличением численности обучающихся, прошедших диспансеризацию. В прогнозные годы планируется увеличения показателя до 92,68 к 2026 году.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2023 год показатель «Доля обучающихся в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общеобразовательных учреждений, занимающихся во вторую (третью) смену  в общейчисленности обучающихся в муниципальных общеобразовательных учреждений» остается на уровне 2022 года 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0%. Данный показатель к 2026 году останется на уровне 2023 года.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Произошло увеличение данного показателя по причине дефицита учителей начальных классов в МБОУ «РСШ № 1 им. Героя Советского Союза П.В. Лаптева» (23 обучающихся 3 «А» класса перешли во вторую смену).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6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планируется ликвидировать вторую смену за счет привлечения в сферу образования молодых специалистов.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в 2023 году составили 62,43 тыс. руб., в 2022 году – 65,1 тыс. руб.  Уменьшение расходов на 1 обучающегося по сравнению с прошлым годом связано с уменьшением объема расходов на общее образование и уменьшением количества созданных центров «Точка роста».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2022 году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создано</w:t>
      </w:r>
      <w:r>
        <w:rPr>
          <w:rFonts w:ascii="Times New Roman CYR" w:hAnsi="Times New Roman CYR" w:cs="Times New Roman CYR"/>
          <w:sz w:val="28"/>
          <w:szCs w:val="28"/>
        </w:rPr>
        <w:t xml:space="preserve"> 4 центра «Точка роста»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естественно-научной и технологической направленностей на базе </w:t>
      </w:r>
      <w:r>
        <w:rPr>
          <w:rFonts w:ascii="Times New Roman CYR" w:hAnsi="Times New Roman CYR" w:cs="Times New Roman CYR"/>
          <w:sz w:val="28"/>
          <w:szCs w:val="28"/>
        </w:rPr>
        <w:t xml:space="preserve">МБОУ «Нижнеингашская СШ №2» имени Б.М. Катышева, МБОУ «Тинская СШ №1», МБОУ «Тинская СШ №2», МБОУ «Тинская СШ №3 имени В.Т. Комовича»; 2023 год – создан 1 центр «Точка роста» на базе МБОУ «Павловская СОШ»).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Прогнозные показатели рассчитаны в соответствии с решением о бюджете на 2024 год и на плановый период 2025 и 2026 годов.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в возрасте 5-18 лет, получающих услуги по дополнительному образованию, в 2023 году составила 65,04%, что на 3,23% выше уровня 2022 года.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прогнозные годы планируется увеличение показателя до 69,2% к 2026 году.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20.1.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клубами и учреждениями клубного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 в 2023 году составил  163,2 %.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100% принимается за 100% поэтому обеспеченность учреждениями клубного типа осталось на прежнем уровне и составляет 100%.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динамике на 2024-2026 годы этот показатель будет таким же т.к. закрытие учреждений клубного типа не планируется.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библиотеками;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Показатель 20.2. обеспеченность библиотеками</w:t>
      </w:r>
      <w:r>
        <w:rPr>
          <w:rFonts w:ascii="Times New Roman CYR" w:hAnsi="Times New Roman CYR" w:cs="Times New Roman CYR"/>
          <w:sz w:val="28"/>
          <w:szCs w:val="28"/>
        </w:rPr>
        <w:t xml:space="preserve"> в 2023году показатель 125%.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100% принимается за 100% поэтому обеспеченность библиотеками осталось на прежнем уровне и составляет 100%.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МО отсутствуют парки культуры и отдыха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Показатель 21.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</w:t>
      </w:r>
      <w:r>
        <w:rPr>
          <w:rFonts w:ascii="Times New Roman CYR" w:hAnsi="Times New Roman CYR" w:cs="Times New Roman CYR"/>
          <w:sz w:val="28"/>
          <w:szCs w:val="28"/>
        </w:rPr>
        <w:t>в общем количестве муниципальных учреждений культуры в 2023 году - 7,69 %.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произошло в результате выбытия здания, в связи с закрытием  Зубенкинской сельской библиотеки.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клубного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требующих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капитального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ремонта</w:t>
      </w:r>
      <w:r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данным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АИС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ММО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Calibri" w:hAnsi="Calibri" w:cs="Calibri"/>
          <w:sz w:val="28"/>
          <w:szCs w:val="28"/>
        </w:rPr>
        <w:t xml:space="preserve"> 2023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Calibri" w:hAnsi="Calibri" w:cs="Calibri"/>
          <w:sz w:val="28"/>
          <w:szCs w:val="28"/>
        </w:rPr>
        <w:t xml:space="preserve">).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4085"/>
        <w:gridCol w:w="1559"/>
      </w:tblGrid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</w:p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учреждения </w:t>
            </w:r>
          </w:p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культуры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Число зданий, требующих капитального ремонта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Филиал №7 Клуб имени Дзержинского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Филиал №3 Ивановский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Филиал №9 Павловский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Филиал №16 Новопойменский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Филиал №15 Старопойменский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 участвует в ГП "Развитие культуры и туризма" с целью  получения субсидий на проведение ремонтных работ в учреждениях клубного типа.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5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>
        <w:rPr>
          <w:rFonts w:ascii="Calibri" w:hAnsi="Calibri" w:cs="Calibri"/>
          <w:i/>
          <w:iCs/>
          <w:sz w:val="28"/>
          <w:szCs w:val="28"/>
        </w:rPr>
        <w:t>зпка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= ---------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 100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65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>
        <w:rPr>
          <w:rFonts w:ascii="Calibri" w:hAnsi="Calibri" w:cs="Calibri"/>
          <w:i/>
          <w:iCs/>
          <w:sz w:val="28"/>
          <w:szCs w:val="28"/>
        </w:rPr>
        <w:t>зпка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= 7,69%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МО отсутствуют объекты культурного наследия, находящиеся в муниципальной собственности и требующих консервации и реставрации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Показатель 23. «Доля населения, систематически занимающегося физической культурой и спортом».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Численность населения систематически занимающегося физической культурой и спортом в 2023 году увеличилась и составила 11 431 человек, но уменьшилась численность населения (22 575 человек). В связи, с чем показатель увеличился до 53,68%, в 2022 году составлял 46,43 %. Прогноз показателя «Доля населения, систематически занимающегося физической культурой и спортом» на 2024 год-  57,5%, 2025 год – 61,0%, 2026 год -64,5%.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Показатель 23.1. «Доля обучающихся, систематически занимающихся физической культурой и спортом, в общей численности обучающихся».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Численность обучающихся, систематически занимающихся физической культурой и спортом, в общей численности составил 4 715 человек, что на 305 человек меньше, чем в 2022 году (5 020 человек) в связи с уменьшением численности в данной категории. Показатель составил  99,92 %, в 2022 году составлял 93,05 %. Прогноз показателя по годам: 2024 год - 99,93%, 2025 год - 99,94%,2026 год – 99,95%.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жилых помещений на 01.01.2024 года согласно статистическим данным формы № 1-жилфонд составляет 616 910 кв. метров. Ежегодное увеличение площади жилищного фонда связано со строительство частного сектора, таким образом в 2023 году введено в действие 6 169,0 кв. м жилья. Общая площадь жилых помещений, введенная в действие за 2023 год, приходящаяся на 1 жителя, составила 26,27 кв. м.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540"/>
        <w:gridCol w:w="1151"/>
        <w:gridCol w:w="1151"/>
        <w:gridCol w:w="1151"/>
        <w:gridCol w:w="1151"/>
        <w:gridCol w:w="1151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факт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 Общая площадь жилых помещений, кв.м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613340,00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616910,00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623110,00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629410,00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635810,00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 Введено жилых помещений за отчетный период, кв.м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6 169,00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6 400,00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 Выбыло жилых помещений за отчетный период, кв.м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2 599,00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4.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23 928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23 480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23 032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22 584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22 136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26,27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27,87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28,72</w:t>
            </w:r>
          </w:p>
        </w:tc>
      </w:tr>
    </w:tbl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24.1. в том числе введенная в действие за один год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 введенная в действие за 2023 год составила 0,26 кв. м. Увеличение в виду строительства жилых домов в частном секторе.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500"/>
        <w:gridCol w:w="960"/>
        <w:gridCol w:w="960"/>
        <w:gridCol w:w="960"/>
        <w:gridCol w:w="960"/>
        <w:gridCol w:w="960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 Введено всего, кв.м,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6 400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1.1. индивидуальное жилищное строительство, 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6 400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1.2. многоквартирное строительство, кв.м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24 218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23 704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23 226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22 212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0,29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по государственным и муниципальным программам строительство многоквартирных жилых домов не осуществлялось.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 планируется увеличение общей площадь жилых помещений, приходящаяся в среднем на одного жителя за счет строительства и ввода в эксплуатацию частного сектора.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прогнозные 2025-2026 годы также планируется увеличение общей площадь жилых помещений, приходящаяся в среднем на одного жителя за счет строительства и ввода в эксплуатацию частного сектора. Строительство многоквартирных домов не планируется.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52"/>
        <w:gridCol w:w="979"/>
        <w:gridCol w:w="992"/>
        <w:gridCol w:w="993"/>
        <w:gridCol w:w="993"/>
      </w:tblGrid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Значение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факт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2023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2024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Площадь земельных участков, предоставленных для строительства, всего:</w:t>
            </w:r>
          </w:p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в том числе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1.1.для жилищного строительства (в т.ч. для   ИЖС)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2,84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1.2.для комплексного освоения в целях жилищного строительства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 для строительства объектов, не являющихся объектами жилищного строительства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Среднегодовая численность постоянного населения городского округа (муниципального района), чел.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Площадь земельных участков, предоставленных  для строительства, в расчете на 10 тыс. человек населения – всего (стр. 1/стр. 2*10000)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1,75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4.Площадь земельных участков, предоставленных  для жилищного строительства,  индивидуального  строительства и комплексного  освоения в целях  жилищного строительства, в расчете на 10 тыс. человек населения (стр.1.1+ стр.1.2/стр.2*10000)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предоставлено под строительство всего – 41 (2022 - 31) земельный участок. Общая площадь, предоставленных земельных участков, составила 9,86 га, увеличилась по сравнению с 2022 годом на 5,93 га. Увеличение показателя произошло в связи с увеличением обращений граждан по предоставлению земельных участков для строительства объектов, не являющихся объектами жилищного строительства и также за счет площади земельных участков, предоставленных под строительство объектов придорожного сервиса.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Предоставлено для: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жилищного строительства (в т.ч. ИЖС) – 19 земельных участков, на 2 участка меньше по сравнению с 2022 годом;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строительства объектов, не являющихся объектами жилищного строительства- 22 земельных участков, на 12 участков больше по сравнению к уровню 2022 года.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 - 0 кв.м.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 - 0 кв.м.</w:t>
      </w:r>
    </w:p>
    <w:p w:rsidR="002F0F47" w:rsidRDefault="002F0F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Нижнеингашского района зарегистрировано 123 многоквартирных дома (МКД). Доля многоквартирных домов, в которых собственники помещений выбрали и реализуют один из способов управления многоквартирными домами составила 75,6%. Согласно п. 17 указаний по заполнению статистического отчета 22-ЖКХ (реформа) «Сведения о структурных преобразованиях и организационный мероприятиях в сфере жилищно-коммунального хозяйства» из 123 МКД, 93 дома, в которых собственники помещений выбрали и реализуют способ управления.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В 30 МКД, управление осуществляется управляющими организациями, выбранными по результатам открытого конкурса. 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Доля частных организаций коммунального комплекса от общего количества организаций коммунального комплекса в 2023 году составила 68,75%.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на территории района организаций коммунального комплекса 16, из них 5 предприятия являются муниципальной (государственной) формы собственности (МУП «Альянс», МУП «Тинское ЖКХ», МУП «Сибсервис», ФГБУ «ЦЖКУ», ОАО «Красноярсккрайгаз» служба «Канскмежрайгаз»).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составляет 70,49. Из 122 МКД 86 расположены на земельных участках, в отношении которых осуществлен государственный кадастровый учет. За 2023 года 8 многоквартирных дома поставлены на учет.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40"/>
        <w:gridCol w:w="960"/>
        <w:gridCol w:w="960"/>
        <w:gridCol w:w="960"/>
        <w:gridCol w:w="960"/>
        <w:gridCol w:w="960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lastRenderedPageBreak/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63,41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81,96</w:t>
            </w:r>
          </w:p>
        </w:tc>
      </w:tr>
    </w:tbl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Численность населения (семей)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, получившего жилые помещения и улучшившего жилищные условия в 2023 году, снизилась по отношению к 2022 году на 3,39% и составляет 0,47%.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1 семья улучшила свои жилищные условия по договору социального найма в муниципальном жилищном фонде. В 2022 году таких семей было 10, в результате чего произошло снижение показателя. 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по краевым и муниципальным программам строительство муниципального жилищного фонда не осуществлялось.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567"/>
        <w:gridCol w:w="938"/>
        <w:gridCol w:w="938"/>
        <w:gridCol w:w="939"/>
        <w:gridCol w:w="959"/>
        <w:gridCol w:w="959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Численность населения (семей), получившего жилые помещения и улучшившего жилищные условия по договору социального найма в отчетном году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(по данным статистического отчета 4-соцнайм графа 3 строка 01 минус строка 02)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214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1,87</w:t>
            </w:r>
          </w:p>
        </w:tc>
      </w:tr>
    </w:tbl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муниципального образования (без учета субвенций)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Объем собственных доходов бюджета муниципального района (без учета субвенций) в 2023 году составил 932 306,6 тыс. рублей, где доля налоговых и неналоговых поступлений заняла 24,67 %. По сравнению с 2022 годом увеличение показателя произошло на 1,4 % за счет увеличения собственных доходов (всего доходы (1 554 569,6 тыс. рублей) минус субвенции (622 263,0 тыс. рублей)). Увеличение собственных доходов произошло за счет увеличения дотаций, субсидий, налоговых и неналоговых доходов (229 968,5 тыс. рублей), из них увеличение налоговых и неналоговых доходов на 14 999,1 тыс. рублей за счет увеличения поступления НДФЛ от повышения заработной платы работникам бюджетной сферы с 01.07.2023г.на 6,3%, военнослужащим (ОМВД, ИК-48, воинская часть) с 01.10.2023г на 10,5 %., увеличения МРОТ на 6,3%.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Организации муниципальной формы собственности, наодящися в стадии банкротства, в основныхфондах организаций муниципальной формы собтвенности, отсутствуют.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Нижнеингашского района нет не завершенного в установленные сроки строительства, осуществляемого за счет средств бюджета района.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Просроченная кредиторская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территории района отсутствует.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35. Расходы бюджета муниципального образования на содержание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работников органов местного самоуправления в расчете на одного жителя муниципального образования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обусловлено в 2023 году повышением размеров оплаты труда работников бюджетной сферы, а также лиц, замещающих муниципальные должности и муниципальных служащих, а также с уменьшением численности населения по итогам проведения Всероссийской переписи населения в 2023 году,  а в 2024 - 2026 году уменьшением численности населения муниципального образования.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соответствии со ст. 21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схема территориального планирования Нижнеингашского района утверждена Решением Нижнеингашского районного Совета депутатов от 21.12.2012 г № 26-275. 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Удовлетворенность населения деятельностью местного самоуправления городского округа (муниципального района) за 2023 год составляет 54,20% от числа опрошенных.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kern w:val="2"/>
          <w:u w:color="FF0000"/>
        </w:rPr>
      </w:pPr>
      <w:r>
        <w:rPr>
          <w:rFonts w:ascii="Calibri" w:hAnsi="Calibri" w:cs="Calibri"/>
          <w:kern w:val="2"/>
          <w:u w:color="FF0000"/>
        </w:rPr>
        <w:t>Важная составляющая оценки развития территории – демографическая ситуация. В районе демографическая ситуация аналогична общероссийской и краевой тенденции и характеризуется убылью населения.</w:t>
      </w:r>
    </w:p>
    <w:p w:rsidR="002F0F47" w:rsidRDefault="002F0F4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kern w:val="2"/>
          <w:u w:color="FF0000"/>
        </w:rPr>
      </w:pPr>
      <w:r>
        <w:rPr>
          <w:rFonts w:ascii="Calibri" w:hAnsi="Calibri" w:cs="Calibri"/>
          <w:kern w:val="2"/>
          <w:u w:color="FF0000"/>
        </w:rPr>
        <w:t xml:space="preserve">Основной проблемой в течение нескольких лет остается снижение численности населения. </w:t>
      </w:r>
    </w:p>
    <w:p w:rsidR="002F0F47" w:rsidRDefault="002F0F4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kern w:val="2"/>
          <w:u w:color="FF0000"/>
        </w:rPr>
      </w:pPr>
      <w:r>
        <w:rPr>
          <w:rFonts w:ascii="Calibri" w:hAnsi="Calibri" w:cs="Calibri"/>
          <w:kern w:val="2"/>
          <w:u w:color="FF0000"/>
        </w:rPr>
        <w:t>Среднегодовая численность постоянного населения в районе составила 23704 человека (2022 - 24218 чел). Такое снижение населения получено по результатам Всероссийской переписи 2020 года, по состоянию на 01.10.2021г., которая проходила в 2021 году, миграционным оттоком и естественной убылью населения.</w:t>
      </w:r>
    </w:p>
    <w:p w:rsidR="002F0F47" w:rsidRDefault="002F0F4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kern w:val="2"/>
          <w:u w:color="FF0000"/>
        </w:rPr>
      </w:pPr>
      <w:r>
        <w:rPr>
          <w:rFonts w:ascii="Calibri" w:hAnsi="Calibri" w:cs="Calibri"/>
          <w:kern w:val="2"/>
          <w:u w:color="FF0000"/>
        </w:rPr>
        <w:lastRenderedPageBreak/>
        <w:t>В районе наблюдается превышение уровня смертности над рождаемостью, что сказывается на естественной убыли населения. За 2023 год родилось - 248 детей, количество умерших составило 407 человек.</w:t>
      </w:r>
    </w:p>
    <w:p w:rsidR="002F0F47" w:rsidRDefault="002F0F4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kern w:val="2"/>
          <w:u w:color="FF0000"/>
        </w:rPr>
      </w:pPr>
      <w:r>
        <w:rPr>
          <w:rFonts w:ascii="Calibri" w:hAnsi="Calibri" w:cs="Calibri"/>
          <w:kern w:val="2"/>
          <w:u w:color="FF0000"/>
        </w:rPr>
        <w:t>Миграционные потоки характеризуются снижением числа прибывших над выбывшими из района (прибыло 789 человека, выбыло 1078 человек).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1423"/>
        <w:gridCol w:w="1412"/>
        <w:gridCol w:w="1460"/>
        <w:gridCol w:w="1380"/>
        <w:gridCol w:w="1554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39.1. Потребление электрической энергии, кВт·ч на 1 проживающего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723,37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701,67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701,67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701,67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701,67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2 602 700,30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2 524 604,70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2 524 604,70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2 524 604,70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2 524 604,70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3 598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3 598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3 598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3 598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409,22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409,22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409,22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409,22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409,22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общая площадь жилых помещений в многоквартирных домах,  кв.м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2 920,00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39.3. Потребление горячей воды, куб. метров на 1 проживающего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14,42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потребления горячей воды в многоквартирных домах, куб.м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8 550,25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8 291,50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8 291,50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8 291,50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8 291,50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575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39.4. Потребление холодной воды, куб. метров на 1 проживающего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33,27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32,27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32,27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32,27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32,27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потребления холодной воды в многоквартирных домах, куб.м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97 381,29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94 454,29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94 454,29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94 454,29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94 454,29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2 927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39а. электрическая энергия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Снижение объема потребления электрической энергии кВт/час на человека по отношению к 2023 году снизился на 21,7 кВт/час, снижение связано с установкой датчиков автоматического управления освещением, т.е. датчиками движения в местах общего пользования многоквартирных домов, а также в связи с установкой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энергоэффективного освещения в жилых помещениях многоквартирных домов.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39б. тепловая энергия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тепловой энергии в многоквартирных домах в 2023 году по сравнению с 2022 годом осталась на прежнем уровне и составляет 0,14 Гкал на 1 м</w:t>
      </w:r>
      <w:r w:rsidRPr="00904F13">
        <w:rPr>
          <w:rFonts w:ascii="Times New Roman" w:hAnsi="Times New Roman"/>
          <w:sz w:val="28"/>
          <w:szCs w:val="28"/>
          <w:u w:color="FF0000"/>
        </w:rPr>
        <w:t xml:space="preserve">²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общей площади.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Потребление тепловой энергии осуществляется по нормативам, приборы учета в домах не устанавливались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39в. горяча вода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горячей воды в многоквартирных домах в 2023 году снизилась на 0,45 м</w:t>
      </w:r>
      <w:r w:rsidRPr="00904F13">
        <w:rPr>
          <w:rFonts w:ascii="Times New Roman" w:hAnsi="Times New Roman"/>
          <w:sz w:val="28"/>
          <w:szCs w:val="28"/>
          <w:u w:color="FF0000"/>
        </w:rPr>
        <w:t xml:space="preserve">³.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Уменьшение произошло с установкой индивидуальных приборов учета.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39г. холодная вода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Расход холодной воды на одного проживающего в 2023 году составил 32,27 м</w:t>
      </w:r>
      <w:r w:rsidRPr="00904F13">
        <w:rPr>
          <w:rFonts w:ascii="Times New Roman" w:hAnsi="Times New Roman"/>
          <w:sz w:val="28"/>
          <w:szCs w:val="28"/>
          <w:u w:color="FF0000"/>
        </w:rPr>
        <w:t xml:space="preserve">³,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что на 1,0 м</w:t>
      </w:r>
      <w:r w:rsidRPr="00904F13">
        <w:rPr>
          <w:rFonts w:ascii="Times New Roman" w:hAnsi="Times New Roman"/>
          <w:sz w:val="28"/>
          <w:szCs w:val="28"/>
          <w:u w:color="FF0000"/>
        </w:rPr>
        <w:t>³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ниже по отношению к 2022 году.</w:t>
      </w:r>
      <w:r>
        <w:rPr>
          <w:rFonts w:ascii="Calibri" w:hAnsi="Calibri" w:cs="Calibri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Уменьшение произошло с установкой индивидуальных приборов учета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39д. природный газ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Газоснабжение в многоквартирных домах отсутствует.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 Удельная величина потребления энергетических ресурсов муниципальными бюджетными учреждениями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700"/>
        <w:gridCol w:w="1400"/>
        <w:gridCol w:w="1220"/>
        <w:gridCol w:w="1220"/>
        <w:gridCol w:w="1220"/>
        <w:gridCol w:w="1220"/>
      </w:tblGrid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40.1. Потребление электрической энергии, кВт·ч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143,29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139,88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3 470 197,22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3 315 715,52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3 248 852,88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3 177 793,84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3 107 014,56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24 218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23 704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23 226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22 718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22 212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0,12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5 846,12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4 959,09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4 959,09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4 959,09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4 959,09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общая площадь муниципальных учреждений, кв.м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41 469,76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41 469,76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41 469,76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41 469,76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41 469,76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40.3. Потребление горячей воды, куб. 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#ДЕЛ/0!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1,90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47 467,28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45 037,60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44 129,40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43 164,20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42 202,80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24 218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23 704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23 226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22 718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22 212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40.1. Потребление электрической энергии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электрической энергии в 2023 году снизилась по сравнению с 2022 годом на 3,41 кВт/час и составляет 139,88 кВт/час на 1 проживающего, это произошло в связи с заменой ламп накаливания на более экономические источники освещения, а также исключения использования электрообогревательных приборов для целей отопления.</w:t>
      </w:r>
      <w:r>
        <w:rPr>
          <w:rFonts w:ascii="Calibri" w:hAnsi="Calibri" w:cs="Calibri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Среднегодовая численность постоянного населения в 2023 году составила 23704 человека, суммарное потребление электроэнергии составила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3 470 197,22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кВт/час.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40.2. Потребление тепловой энергии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удельная величина потребления тепловой энергии составляла 0,12 Гкал , что на 0,02 Гкал меньше, чем в 2022 году. Это произошло в связи с работой приборов учета тепловой энергии в штатном режиме (90% муниципальных учреждений района оборудовано приборами учета), также следует отметись, что в 2023 году зафиксировано значительно меньше  аномально низких температур чем 2022 году.  Общая площадь муниципальных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учреждений 41469,76 кв.м. Суммарное количество тепловой энергии 4 959,09 Гкал.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40.3. Потребление горячей воды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Горячее водоснабжение в бюджетных учреждениях отсутствует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40.4. Потребление холодной воды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холодной воды по соотношению к 2022 года в 2023 году снизился на 0,06 м</w:t>
      </w:r>
      <w:r w:rsidRPr="00904F13">
        <w:rPr>
          <w:rFonts w:ascii="Times New Roman" w:hAnsi="Times New Roman"/>
          <w:sz w:val="28"/>
          <w:szCs w:val="28"/>
          <w:u w:color="FF0000"/>
        </w:rPr>
        <w:t>³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 составляет 1,9 куб. м., это произошло в связи с работой приборов учета холодного водоснабжения в штатном режиме. Среднегодовая численность постоянного населения в 2023 году составила 23704 человека. Объем потребленной израсходованной холодной воды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45 037,60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куб. м.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40.5. Потребление природного газа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Газоснабжение в бюджетных учреждениях отсутствует.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904F13"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Интернет</w:t>
      </w:r>
      <w:r w:rsidRPr="00904F13"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  <w:t>»)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при наличии)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отчетном периоде независимой оценкой качества охвачено 16 образовательных организаций района (62%). Остальные 10 образовательных организаций (38%) прошли независимую оценку качества в 2022 году. </w:t>
      </w:r>
    </w:p>
    <w:p w:rsidR="002F0F47" w:rsidRDefault="002F0F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Таким образом, за 2022-2023 годы во всех образовательных организациях прошла независимая оценка качества.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Средний балл по итогам независимой оценкой качества составил 84,46 баллов. </w:t>
      </w:r>
    </w:p>
    <w:p w:rsidR="002F0F47" w:rsidRDefault="002F0F4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Результаты независимой оценки качества оказания услуг образовательными организациями, 2023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718"/>
        <w:gridCol w:w="3188"/>
      </w:tblGrid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 w:rsidP="00904F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МБДОУ Нижнеингашский детский сад №13 «Ромашка»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86,02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МБДОУ комбинированного вида Нижнепойменский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детский сад «Сибирячок»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88,48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МБДОУ Нижнепойменский детский сад  «Золотой ключик»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87,42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МБДОУ Нижнепойменский детский сад «Топтыжка»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86,26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«Березовская СОШ»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84,7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«Ивановская ОШ»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83,12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«Новоалександровская СШ»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86,82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«Нижнеингашская СШ №2» имени Б.М. Катышева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81,58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«РСШ № 1 им. Героя Советского Союза В.П. Лаптева»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93,2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«РСШ №10 им. В.В. Женченко»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75,98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«Решотинская ОШ»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82,32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«Тиличетская СШ»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81,34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«Стретенская СШ» имени Героя Советского Союза Б.М. Бахарева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85,24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«Соколовская СШ»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83,5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МБОУ «Тинская СШ №3 имени В.Т. Комовича»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82,78</w:t>
            </w:r>
          </w:p>
        </w:tc>
      </w:tr>
      <w:tr w:rsidR="002F0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16.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ab/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МБУ ДО Нижнеингашский центр «Радуга»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F47" w:rsidRDefault="002F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82,66</w:t>
            </w:r>
          </w:p>
        </w:tc>
      </w:tr>
    </w:tbl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2F0F47" w:rsidRDefault="002F0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2023 году независимая оценка качества условий оказания услуг в сфере культуры проводилась в МБУК "МБО" Нижнеингашского района организацией оператором ООО "Исследовательская компания "Лидер", итоговое значение составило </w:t>
      </w:r>
      <w:r>
        <w:rPr>
          <w:rFonts w:ascii="Times New Roman CYR" w:hAnsi="Times New Roman CYR" w:cs="Times New Roman CYR"/>
          <w:b/>
          <w:bCs/>
          <w:sz w:val="28"/>
          <w:szCs w:val="28"/>
          <w:u w:color="FF0000"/>
        </w:rPr>
        <w:t>86,0 баллов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из 100 возможных и интерпретируется как высокое.</w:t>
      </w: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F0F47" w:rsidRDefault="002F0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2F0F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B6C"/>
    <w:multiLevelType w:val="singleLevel"/>
    <w:tmpl w:val="0CD8341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3"/>
    <w:rsid w:val="002F0F47"/>
    <w:rsid w:val="003D05C5"/>
    <w:rsid w:val="00696E60"/>
    <w:rsid w:val="008A2125"/>
    <w:rsid w:val="009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Info('indicator_23.18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Тихоненко</dc:creator>
  <cp:lastModifiedBy>Андрей Копылов</cp:lastModifiedBy>
  <cp:revision>2</cp:revision>
  <cp:lastPrinted>2024-04-26T09:32:00Z</cp:lastPrinted>
  <dcterms:created xsi:type="dcterms:W3CDTF">2024-04-27T04:40:00Z</dcterms:created>
  <dcterms:modified xsi:type="dcterms:W3CDTF">2024-04-27T04:40:00Z</dcterms:modified>
</cp:coreProperties>
</file>